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4" w:lineRule="exact"/>
        <w:jc w:val="center"/>
        <w:rPr>
          <w:rFonts w:hint="default" w:ascii="Times New Roman" w:hAnsi="Times New Roman" w:eastAsia="方正小标宋简体" w:cs="Times New Roman"/>
          <w:color w:val="000000"/>
          <w:sz w:val="32"/>
          <w:szCs w:val="32"/>
        </w:rPr>
      </w:pPr>
      <w:r>
        <w:rPr>
          <w:rFonts w:hint="default" w:ascii="Times New Roman" w:hAnsi="Times New Roman" w:eastAsia="方正小标宋简体" w:cs="Times New Roman"/>
          <w:color w:val="000000"/>
          <w:sz w:val="32"/>
          <w:szCs w:val="32"/>
        </w:rPr>
        <w:t>木制家具产品质量国家监督抽查实施细则</w:t>
      </w:r>
    </w:p>
    <w:p>
      <w:pPr>
        <w:spacing w:line="440" w:lineRule="exact"/>
        <w:jc w:val="center"/>
        <w:rPr>
          <w:rFonts w:hint="default" w:ascii="Times New Roman" w:hAnsi="Times New Roman" w:eastAsia="方正小标宋简体" w:cs="Times New Roman"/>
          <w:color w:val="000000"/>
          <w:sz w:val="32"/>
          <w:szCs w:val="32"/>
        </w:rPr>
      </w:pPr>
      <w:r>
        <w:rPr>
          <w:rFonts w:hint="default" w:ascii="Times New Roman" w:hAnsi="Times New Roman" w:eastAsia="方正小标宋简体" w:cs="Times New Roman"/>
          <w:color w:val="000000"/>
          <w:sz w:val="32"/>
          <w:szCs w:val="32"/>
        </w:rPr>
        <w:t>（2022年版）</w:t>
      </w:r>
    </w:p>
    <w:p>
      <w:pPr>
        <w:spacing w:line="440" w:lineRule="exact"/>
        <w:jc w:val="center"/>
        <w:rPr>
          <w:rFonts w:hint="default" w:ascii="Times New Roman" w:hAnsi="Times New Roman" w:eastAsia="方正小标宋简体" w:cs="Times New Roman"/>
          <w:color w:val="000000"/>
          <w:sz w:val="32"/>
          <w:szCs w:val="32"/>
        </w:rPr>
      </w:pPr>
      <w:r>
        <w:rPr>
          <w:rFonts w:hint="default" w:ascii="Times New Roman" w:hAnsi="Times New Roman" w:eastAsia="方正小标宋简体" w:cs="Times New Roman"/>
          <w:color w:val="000000"/>
          <w:sz w:val="32"/>
          <w:szCs w:val="32"/>
        </w:rPr>
        <w:t>（征求意见稿）</w:t>
      </w:r>
    </w:p>
    <w:p>
      <w:pPr>
        <w:adjustRightInd w:val="0"/>
        <w:snapToGrid w:val="0"/>
        <w:spacing w:line="594" w:lineRule="exact"/>
        <w:jc w:val="center"/>
        <w:rPr>
          <w:rFonts w:hint="default" w:ascii="Times New Roman" w:hAnsi="Times New Roman" w:eastAsia="方正小标宋简体" w:cs="Times New Roman"/>
          <w:color w:val="000000"/>
          <w:sz w:val="32"/>
          <w:szCs w:val="32"/>
        </w:rPr>
      </w:pPr>
    </w:p>
    <w:p>
      <w:pPr>
        <w:snapToGrid w:val="0"/>
        <w:spacing w:line="440" w:lineRule="exact"/>
        <w:rPr>
          <w:rFonts w:hint="default" w:ascii="Times New Roman" w:hAnsi="Times New Roman" w:eastAsia="黑体" w:cs="Times New Roman"/>
          <w:color w:val="000000"/>
          <w:szCs w:val="21"/>
        </w:rPr>
      </w:pPr>
      <w:r>
        <w:rPr>
          <w:rFonts w:hint="default" w:ascii="Times New Roman" w:hAnsi="Times New Roman" w:eastAsia="黑体" w:cs="Times New Roman"/>
          <w:color w:val="000000"/>
          <w:szCs w:val="21"/>
        </w:rPr>
        <w:t>1 抽样方法</w:t>
      </w:r>
    </w:p>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以随机抽样的方式在被抽样生产者、销售者的待销产品中抽取。</w:t>
      </w:r>
    </w:p>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随机数一般可使用随机数表等方法产生。</w:t>
      </w:r>
    </w:p>
    <w:p>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每批次产品抽取样品2件，其中1件作为检验样品，1件作为备用样品。</w:t>
      </w:r>
    </w:p>
    <w:p>
      <w:pPr>
        <w:snapToGrid w:val="0"/>
        <w:spacing w:line="440" w:lineRule="exact"/>
        <w:ind w:firstLine="420" w:firstLineChars="200"/>
        <w:rPr>
          <w:rFonts w:hint="default" w:ascii="Times New Roman" w:hAnsi="Times New Roman" w:cs="Times New Roman"/>
          <w:color w:val="000000"/>
          <w:szCs w:val="21"/>
        </w:rPr>
      </w:pPr>
    </w:p>
    <w:p>
      <w:pPr>
        <w:snapToGrid w:val="0"/>
        <w:spacing w:line="440" w:lineRule="exact"/>
        <w:rPr>
          <w:rFonts w:hint="default" w:ascii="Times New Roman" w:hAnsi="Times New Roman" w:eastAsia="黑体" w:cs="Times New Roman"/>
          <w:color w:val="000000"/>
          <w:szCs w:val="21"/>
        </w:rPr>
      </w:pPr>
      <w:r>
        <w:rPr>
          <w:rFonts w:hint="default" w:ascii="Times New Roman" w:hAnsi="Times New Roman" w:eastAsia="黑体" w:cs="Times New Roman"/>
          <w:color w:val="000000"/>
          <w:szCs w:val="21"/>
        </w:rPr>
        <w:t>2 检验依据</w:t>
      </w:r>
    </w:p>
    <w:p>
      <w:pPr>
        <w:snapToGrid w:val="0"/>
        <w:spacing w:line="440" w:lineRule="exact"/>
        <w:rPr>
          <w:rFonts w:hint="default" w:ascii="Times New Roman" w:hAnsi="Times New Roman" w:eastAsia="黑体" w:cs="Times New Roman"/>
          <w:color w:val="000000"/>
          <w:szCs w:val="21"/>
        </w:rPr>
      </w:pPr>
    </w:p>
    <w:tbl>
      <w:tblPr>
        <w:tblStyle w:val="14"/>
        <w:tblW w:w="9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8"/>
        <w:gridCol w:w="1691"/>
        <w:gridCol w:w="1716"/>
        <w:gridCol w:w="2099"/>
        <w:gridCol w:w="2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7" w:hRule="atLeast"/>
          <w:tblHeader/>
        </w:trPr>
        <w:tc>
          <w:tcPr>
            <w:tcW w:w="888" w:type="dxa"/>
            <w:vAlign w:val="center"/>
          </w:tcPr>
          <w:p>
            <w:pPr>
              <w:spacing w:line="440" w:lineRule="exact"/>
              <w:jc w:val="center"/>
              <w:textAlignment w:val="center"/>
              <w:rPr>
                <w:rFonts w:hint="default" w:ascii="Times New Roman" w:hAnsi="Times New Roman" w:cs="Times New Roman"/>
                <w:szCs w:val="21"/>
              </w:rPr>
            </w:pPr>
            <w:r>
              <w:rPr>
                <w:rFonts w:hint="default" w:ascii="Times New Roman" w:hAnsi="Times New Roman" w:cs="Times New Roman"/>
              </w:rPr>
              <w:t>序号</w:t>
            </w:r>
          </w:p>
        </w:tc>
        <w:tc>
          <w:tcPr>
            <w:tcW w:w="5506" w:type="dxa"/>
            <w:gridSpan w:val="3"/>
            <w:vAlign w:val="center"/>
          </w:tcPr>
          <w:p>
            <w:pPr>
              <w:spacing w:line="440" w:lineRule="exact"/>
              <w:jc w:val="center"/>
              <w:textAlignment w:val="center"/>
              <w:rPr>
                <w:rFonts w:hint="default" w:ascii="Times New Roman" w:hAnsi="Times New Roman" w:cs="Times New Roman"/>
                <w:szCs w:val="21"/>
              </w:rPr>
            </w:pPr>
            <w:r>
              <w:rPr>
                <w:rFonts w:hint="default" w:ascii="Times New Roman" w:hAnsi="Times New Roman" w:cs="Times New Roman"/>
              </w:rPr>
              <w:t>检验项目</w:t>
            </w:r>
          </w:p>
        </w:tc>
        <w:tc>
          <w:tcPr>
            <w:tcW w:w="2780" w:type="dxa"/>
            <w:vAlign w:val="center"/>
          </w:tcPr>
          <w:p>
            <w:pPr>
              <w:spacing w:line="440" w:lineRule="exact"/>
              <w:jc w:val="center"/>
              <w:textAlignment w:val="center"/>
              <w:rPr>
                <w:rFonts w:hint="default" w:ascii="Times New Roman" w:hAnsi="Times New Roman" w:cs="Times New Roman"/>
                <w:szCs w:val="21"/>
              </w:rPr>
            </w:pPr>
            <w:r>
              <w:rPr>
                <w:rFonts w:hint="default" w:ascii="Times New Roman" w:hAnsi="Times New Roman" w:cs="Times New Roman"/>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888"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1</w:t>
            </w:r>
          </w:p>
        </w:tc>
        <w:tc>
          <w:tcPr>
            <w:tcW w:w="5506" w:type="dxa"/>
            <w:gridSpan w:val="3"/>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木工要求（表3-序号27）</w:t>
            </w:r>
          </w:p>
        </w:tc>
        <w:tc>
          <w:tcPr>
            <w:tcW w:w="2780"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 xml:space="preserve">GB/T 3324-2017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888"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2</w:t>
            </w:r>
          </w:p>
        </w:tc>
        <w:tc>
          <w:tcPr>
            <w:tcW w:w="1691" w:type="dxa"/>
            <w:vMerge w:val="restart"/>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表面理化性能（漆膜）</w:t>
            </w:r>
          </w:p>
        </w:tc>
        <w:tc>
          <w:tcPr>
            <w:tcW w:w="3815" w:type="dxa"/>
            <w:gridSpan w:val="2"/>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耐液性</w:t>
            </w:r>
          </w:p>
        </w:tc>
        <w:tc>
          <w:tcPr>
            <w:tcW w:w="2780"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 xml:space="preserve">GB/T 3324-2017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888"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3</w:t>
            </w:r>
          </w:p>
        </w:tc>
        <w:tc>
          <w:tcPr>
            <w:tcW w:w="1691" w:type="dxa"/>
            <w:vMerge w:val="continue"/>
            <w:vAlign w:val="center"/>
          </w:tcPr>
          <w:p>
            <w:pPr>
              <w:snapToGrid w:val="0"/>
              <w:jc w:val="center"/>
              <w:rPr>
                <w:rFonts w:hint="default" w:ascii="Times New Roman" w:hAnsi="Times New Roman" w:cs="Times New Roman"/>
                <w:color w:val="000000"/>
                <w:szCs w:val="21"/>
              </w:rPr>
            </w:pPr>
          </w:p>
        </w:tc>
        <w:tc>
          <w:tcPr>
            <w:tcW w:w="3815" w:type="dxa"/>
            <w:gridSpan w:val="2"/>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耐湿热</w:t>
            </w:r>
          </w:p>
        </w:tc>
        <w:tc>
          <w:tcPr>
            <w:tcW w:w="2780"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 xml:space="preserve">GB/T 3324-2017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888"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4</w:t>
            </w:r>
          </w:p>
        </w:tc>
        <w:tc>
          <w:tcPr>
            <w:tcW w:w="1691" w:type="dxa"/>
            <w:vMerge w:val="continue"/>
            <w:vAlign w:val="center"/>
          </w:tcPr>
          <w:p>
            <w:pPr>
              <w:snapToGrid w:val="0"/>
              <w:jc w:val="center"/>
              <w:rPr>
                <w:rFonts w:hint="default" w:ascii="Times New Roman" w:hAnsi="Times New Roman" w:cs="Times New Roman"/>
                <w:color w:val="000000"/>
                <w:szCs w:val="21"/>
              </w:rPr>
            </w:pPr>
          </w:p>
        </w:tc>
        <w:tc>
          <w:tcPr>
            <w:tcW w:w="3815" w:type="dxa"/>
            <w:gridSpan w:val="2"/>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耐干热</w:t>
            </w:r>
          </w:p>
        </w:tc>
        <w:tc>
          <w:tcPr>
            <w:tcW w:w="2780"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 xml:space="preserve">GB/T 3324-2017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888"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5</w:t>
            </w:r>
          </w:p>
        </w:tc>
        <w:tc>
          <w:tcPr>
            <w:tcW w:w="1691" w:type="dxa"/>
            <w:vMerge w:val="continue"/>
            <w:vAlign w:val="center"/>
          </w:tcPr>
          <w:p>
            <w:pPr>
              <w:snapToGrid w:val="0"/>
              <w:jc w:val="center"/>
              <w:rPr>
                <w:rFonts w:hint="default" w:ascii="Times New Roman" w:hAnsi="Times New Roman" w:cs="Times New Roman"/>
                <w:color w:val="000000"/>
                <w:szCs w:val="21"/>
              </w:rPr>
            </w:pPr>
          </w:p>
        </w:tc>
        <w:tc>
          <w:tcPr>
            <w:tcW w:w="3815" w:type="dxa"/>
            <w:gridSpan w:val="2"/>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附着力</w:t>
            </w:r>
          </w:p>
        </w:tc>
        <w:tc>
          <w:tcPr>
            <w:tcW w:w="2780"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 xml:space="preserve">GB/T 3324-2017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888"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6</w:t>
            </w:r>
          </w:p>
        </w:tc>
        <w:tc>
          <w:tcPr>
            <w:tcW w:w="1691" w:type="dxa"/>
            <w:vMerge w:val="continue"/>
            <w:vAlign w:val="center"/>
          </w:tcPr>
          <w:p>
            <w:pPr>
              <w:snapToGrid w:val="0"/>
              <w:jc w:val="center"/>
              <w:rPr>
                <w:rFonts w:hint="default" w:ascii="Times New Roman" w:hAnsi="Times New Roman" w:cs="Times New Roman"/>
                <w:color w:val="000000"/>
                <w:szCs w:val="21"/>
              </w:rPr>
            </w:pPr>
          </w:p>
        </w:tc>
        <w:tc>
          <w:tcPr>
            <w:tcW w:w="3815" w:type="dxa"/>
            <w:gridSpan w:val="2"/>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耐磨性</w:t>
            </w:r>
          </w:p>
        </w:tc>
        <w:tc>
          <w:tcPr>
            <w:tcW w:w="2780"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 xml:space="preserve">GB/T 3324-2017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888"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7</w:t>
            </w:r>
          </w:p>
        </w:tc>
        <w:tc>
          <w:tcPr>
            <w:tcW w:w="1691" w:type="dxa"/>
            <w:vMerge w:val="continue"/>
            <w:vAlign w:val="center"/>
          </w:tcPr>
          <w:p>
            <w:pPr>
              <w:snapToGrid w:val="0"/>
              <w:jc w:val="center"/>
              <w:rPr>
                <w:rFonts w:hint="default" w:ascii="Times New Roman" w:hAnsi="Times New Roman" w:cs="Times New Roman"/>
                <w:color w:val="000000"/>
                <w:szCs w:val="21"/>
              </w:rPr>
            </w:pPr>
          </w:p>
        </w:tc>
        <w:tc>
          <w:tcPr>
            <w:tcW w:w="3815" w:type="dxa"/>
            <w:gridSpan w:val="2"/>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抗冲击</w:t>
            </w:r>
          </w:p>
        </w:tc>
        <w:tc>
          <w:tcPr>
            <w:tcW w:w="2780"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 xml:space="preserve">GB/T 3324-2017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888"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8</w:t>
            </w:r>
          </w:p>
        </w:tc>
        <w:tc>
          <w:tcPr>
            <w:tcW w:w="1691" w:type="dxa"/>
            <w:vMerge w:val="restart"/>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表面理化性能（软、硬质覆面）</w:t>
            </w:r>
          </w:p>
        </w:tc>
        <w:tc>
          <w:tcPr>
            <w:tcW w:w="3815" w:type="dxa"/>
            <w:gridSpan w:val="2"/>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耐冷热循环</w:t>
            </w:r>
          </w:p>
        </w:tc>
        <w:tc>
          <w:tcPr>
            <w:tcW w:w="2780"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 xml:space="preserve">GB/T 3324-2017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888"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9</w:t>
            </w:r>
          </w:p>
        </w:tc>
        <w:tc>
          <w:tcPr>
            <w:tcW w:w="1691" w:type="dxa"/>
            <w:vMerge w:val="continue"/>
            <w:vAlign w:val="center"/>
          </w:tcPr>
          <w:p>
            <w:pPr>
              <w:snapToGrid w:val="0"/>
              <w:jc w:val="center"/>
              <w:rPr>
                <w:rFonts w:hint="default" w:ascii="Times New Roman" w:hAnsi="Times New Roman" w:cs="Times New Roman"/>
                <w:color w:val="000000"/>
                <w:szCs w:val="21"/>
              </w:rPr>
            </w:pPr>
          </w:p>
        </w:tc>
        <w:tc>
          <w:tcPr>
            <w:tcW w:w="3815" w:type="dxa"/>
            <w:gridSpan w:val="2"/>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耐干热</w:t>
            </w:r>
          </w:p>
        </w:tc>
        <w:tc>
          <w:tcPr>
            <w:tcW w:w="2780"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 xml:space="preserve">GB/T 3324-2017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888"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10</w:t>
            </w:r>
          </w:p>
        </w:tc>
        <w:tc>
          <w:tcPr>
            <w:tcW w:w="1691" w:type="dxa"/>
            <w:vMerge w:val="continue"/>
            <w:vAlign w:val="center"/>
          </w:tcPr>
          <w:p>
            <w:pPr>
              <w:snapToGrid w:val="0"/>
              <w:jc w:val="center"/>
              <w:rPr>
                <w:rFonts w:hint="default" w:ascii="Times New Roman" w:hAnsi="Times New Roman" w:cs="Times New Roman"/>
                <w:color w:val="000000"/>
                <w:szCs w:val="21"/>
              </w:rPr>
            </w:pPr>
          </w:p>
        </w:tc>
        <w:tc>
          <w:tcPr>
            <w:tcW w:w="3815" w:type="dxa"/>
            <w:gridSpan w:val="2"/>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耐湿热</w:t>
            </w:r>
          </w:p>
        </w:tc>
        <w:tc>
          <w:tcPr>
            <w:tcW w:w="2780"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 xml:space="preserve">GB/T 3324-2017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888"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11</w:t>
            </w:r>
          </w:p>
        </w:tc>
        <w:tc>
          <w:tcPr>
            <w:tcW w:w="1691" w:type="dxa"/>
            <w:vMerge w:val="continue"/>
            <w:vAlign w:val="center"/>
          </w:tcPr>
          <w:p>
            <w:pPr>
              <w:snapToGrid w:val="0"/>
              <w:jc w:val="center"/>
              <w:rPr>
                <w:rFonts w:hint="default" w:ascii="Times New Roman" w:hAnsi="Times New Roman" w:cs="Times New Roman"/>
                <w:color w:val="000000"/>
                <w:szCs w:val="21"/>
              </w:rPr>
            </w:pPr>
          </w:p>
        </w:tc>
        <w:tc>
          <w:tcPr>
            <w:tcW w:w="3815" w:type="dxa"/>
            <w:gridSpan w:val="2"/>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表面耐磨性</w:t>
            </w:r>
          </w:p>
        </w:tc>
        <w:tc>
          <w:tcPr>
            <w:tcW w:w="2780"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 xml:space="preserve">GB/T 3324-2017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888"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12</w:t>
            </w:r>
          </w:p>
        </w:tc>
        <w:tc>
          <w:tcPr>
            <w:tcW w:w="1691" w:type="dxa"/>
            <w:vMerge w:val="continue"/>
            <w:vAlign w:val="center"/>
          </w:tcPr>
          <w:p>
            <w:pPr>
              <w:snapToGrid w:val="0"/>
              <w:jc w:val="center"/>
              <w:rPr>
                <w:rFonts w:hint="default" w:ascii="Times New Roman" w:hAnsi="Times New Roman" w:cs="Times New Roman"/>
                <w:color w:val="000000"/>
                <w:szCs w:val="21"/>
              </w:rPr>
            </w:pPr>
          </w:p>
        </w:tc>
        <w:tc>
          <w:tcPr>
            <w:tcW w:w="3815" w:type="dxa"/>
            <w:gridSpan w:val="2"/>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抗冲击</w:t>
            </w:r>
          </w:p>
        </w:tc>
        <w:tc>
          <w:tcPr>
            <w:tcW w:w="2780"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 xml:space="preserve">GB/T 3324-2017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888"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13</w:t>
            </w:r>
          </w:p>
        </w:tc>
        <w:tc>
          <w:tcPr>
            <w:tcW w:w="1691" w:type="dxa"/>
            <w:vMerge w:val="restart"/>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力学性能（柜类）</w:t>
            </w:r>
          </w:p>
        </w:tc>
        <w:tc>
          <w:tcPr>
            <w:tcW w:w="3815" w:type="dxa"/>
            <w:gridSpan w:val="2"/>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结构和底架强度试验</w:t>
            </w:r>
          </w:p>
        </w:tc>
        <w:tc>
          <w:tcPr>
            <w:tcW w:w="2780"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 xml:space="preserve">GB/T 3324-2017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888"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14</w:t>
            </w:r>
          </w:p>
        </w:tc>
        <w:tc>
          <w:tcPr>
            <w:tcW w:w="1691" w:type="dxa"/>
            <w:vMerge w:val="continue"/>
            <w:vAlign w:val="center"/>
          </w:tcPr>
          <w:p>
            <w:pPr>
              <w:snapToGrid w:val="0"/>
              <w:jc w:val="center"/>
              <w:rPr>
                <w:rFonts w:hint="default" w:ascii="Times New Roman" w:hAnsi="Times New Roman" w:cs="Times New Roman"/>
                <w:color w:val="000000"/>
                <w:szCs w:val="21"/>
              </w:rPr>
            </w:pPr>
          </w:p>
        </w:tc>
        <w:tc>
          <w:tcPr>
            <w:tcW w:w="3815" w:type="dxa"/>
            <w:gridSpan w:val="2"/>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推拉构件结构强度试验</w:t>
            </w:r>
          </w:p>
        </w:tc>
        <w:tc>
          <w:tcPr>
            <w:tcW w:w="2780"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GB/T 3324-2017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888"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15</w:t>
            </w:r>
          </w:p>
        </w:tc>
        <w:tc>
          <w:tcPr>
            <w:tcW w:w="1691" w:type="dxa"/>
            <w:vMerge w:val="continue"/>
            <w:vAlign w:val="center"/>
          </w:tcPr>
          <w:p>
            <w:pPr>
              <w:snapToGrid w:val="0"/>
              <w:jc w:val="center"/>
              <w:rPr>
                <w:rFonts w:hint="default" w:ascii="Times New Roman" w:hAnsi="Times New Roman" w:cs="Times New Roman"/>
                <w:color w:val="000000"/>
                <w:szCs w:val="21"/>
              </w:rPr>
            </w:pPr>
          </w:p>
        </w:tc>
        <w:tc>
          <w:tcPr>
            <w:tcW w:w="3815" w:type="dxa"/>
            <w:gridSpan w:val="2"/>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推拉构件强度试验</w:t>
            </w:r>
          </w:p>
        </w:tc>
        <w:tc>
          <w:tcPr>
            <w:tcW w:w="2780"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 xml:space="preserve">GB/T 3324-2017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888"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16</w:t>
            </w:r>
          </w:p>
        </w:tc>
        <w:tc>
          <w:tcPr>
            <w:tcW w:w="1691" w:type="dxa"/>
            <w:vMerge w:val="continue"/>
            <w:vAlign w:val="center"/>
          </w:tcPr>
          <w:p>
            <w:pPr>
              <w:snapToGrid w:val="0"/>
              <w:jc w:val="center"/>
              <w:rPr>
                <w:rFonts w:hint="default" w:ascii="Times New Roman" w:hAnsi="Times New Roman" w:cs="Times New Roman"/>
                <w:color w:val="000000"/>
                <w:szCs w:val="21"/>
              </w:rPr>
            </w:pPr>
          </w:p>
        </w:tc>
        <w:tc>
          <w:tcPr>
            <w:tcW w:w="3815" w:type="dxa"/>
            <w:gridSpan w:val="2"/>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稳定性</w:t>
            </w:r>
          </w:p>
        </w:tc>
        <w:tc>
          <w:tcPr>
            <w:tcW w:w="2780"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 xml:space="preserve">GB/T 3324-2017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888"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17</w:t>
            </w:r>
          </w:p>
        </w:tc>
        <w:tc>
          <w:tcPr>
            <w:tcW w:w="1691" w:type="dxa"/>
            <w:vMerge w:val="restart"/>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力学性能（桌类）</w:t>
            </w:r>
          </w:p>
        </w:tc>
        <w:tc>
          <w:tcPr>
            <w:tcW w:w="3815" w:type="dxa"/>
            <w:gridSpan w:val="2"/>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桌面垂直静载荷试验</w:t>
            </w:r>
          </w:p>
        </w:tc>
        <w:tc>
          <w:tcPr>
            <w:tcW w:w="2780"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 xml:space="preserve">GB/T 3324-2017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888"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18</w:t>
            </w:r>
          </w:p>
        </w:tc>
        <w:tc>
          <w:tcPr>
            <w:tcW w:w="1691" w:type="dxa"/>
            <w:vMerge w:val="continue"/>
            <w:vAlign w:val="center"/>
          </w:tcPr>
          <w:p>
            <w:pPr>
              <w:snapToGrid w:val="0"/>
              <w:jc w:val="center"/>
              <w:rPr>
                <w:rFonts w:hint="default" w:ascii="Times New Roman" w:hAnsi="Times New Roman" w:cs="Times New Roman"/>
                <w:color w:val="000000"/>
                <w:szCs w:val="21"/>
              </w:rPr>
            </w:pPr>
          </w:p>
        </w:tc>
        <w:tc>
          <w:tcPr>
            <w:tcW w:w="3815" w:type="dxa"/>
            <w:gridSpan w:val="2"/>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水平静载荷试验</w:t>
            </w:r>
          </w:p>
        </w:tc>
        <w:tc>
          <w:tcPr>
            <w:tcW w:w="2780"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 xml:space="preserve">GB/T 3324-2017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888"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19</w:t>
            </w:r>
          </w:p>
        </w:tc>
        <w:tc>
          <w:tcPr>
            <w:tcW w:w="1691" w:type="dxa"/>
            <w:vMerge w:val="continue"/>
            <w:vAlign w:val="center"/>
          </w:tcPr>
          <w:p>
            <w:pPr>
              <w:snapToGrid w:val="0"/>
              <w:jc w:val="center"/>
              <w:rPr>
                <w:rFonts w:hint="default" w:ascii="Times New Roman" w:hAnsi="Times New Roman" w:cs="Times New Roman"/>
                <w:color w:val="000000"/>
                <w:szCs w:val="21"/>
              </w:rPr>
            </w:pPr>
          </w:p>
        </w:tc>
        <w:tc>
          <w:tcPr>
            <w:tcW w:w="3815" w:type="dxa"/>
            <w:gridSpan w:val="2"/>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桌面垂直冲击试验</w:t>
            </w:r>
          </w:p>
        </w:tc>
        <w:tc>
          <w:tcPr>
            <w:tcW w:w="2780"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 xml:space="preserve">GB/T 3324-2017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888"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20</w:t>
            </w:r>
          </w:p>
        </w:tc>
        <w:tc>
          <w:tcPr>
            <w:tcW w:w="1691" w:type="dxa"/>
            <w:vMerge w:val="continue"/>
            <w:vAlign w:val="center"/>
          </w:tcPr>
          <w:p>
            <w:pPr>
              <w:snapToGrid w:val="0"/>
              <w:jc w:val="center"/>
              <w:rPr>
                <w:rFonts w:hint="default" w:ascii="Times New Roman" w:hAnsi="Times New Roman" w:cs="Times New Roman"/>
                <w:color w:val="000000"/>
                <w:szCs w:val="21"/>
              </w:rPr>
            </w:pPr>
          </w:p>
        </w:tc>
        <w:tc>
          <w:tcPr>
            <w:tcW w:w="3815" w:type="dxa"/>
            <w:gridSpan w:val="2"/>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桌腿跌落试验</w:t>
            </w:r>
          </w:p>
        </w:tc>
        <w:tc>
          <w:tcPr>
            <w:tcW w:w="2780"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 xml:space="preserve">GB/T 3324-2017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888"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21</w:t>
            </w:r>
          </w:p>
        </w:tc>
        <w:tc>
          <w:tcPr>
            <w:tcW w:w="1691" w:type="dxa"/>
            <w:vMerge w:val="continue"/>
            <w:vAlign w:val="center"/>
          </w:tcPr>
          <w:p>
            <w:pPr>
              <w:snapToGrid w:val="0"/>
              <w:jc w:val="center"/>
              <w:rPr>
                <w:rFonts w:hint="default" w:ascii="Times New Roman" w:hAnsi="Times New Roman" w:cs="Times New Roman"/>
                <w:color w:val="000000"/>
                <w:szCs w:val="21"/>
              </w:rPr>
            </w:pPr>
          </w:p>
        </w:tc>
        <w:tc>
          <w:tcPr>
            <w:tcW w:w="3815" w:type="dxa"/>
            <w:gridSpan w:val="2"/>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稳定性</w:t>
            </w:r>
          </w:p>
        </w:tc>
        <w:tc>
          <w:tcPr>
            <w:tcW w:w="2780"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 xml:space="preserve">GB/T 3324-2017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888"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22</w:t>
            </w:r>
          </w:p>
        </w:tc>
        <w:tc>
          <w:tcPr>
            <w:tcW w:w="1691" w:type="dxa"/>
            <w:vMerge w:val="restart"/>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力学性能（椅凳类）</w:t>
            </w:r>
          </w:p>
        </w:tc>
        <w:tc>
          <w:tcPr>
            <w:tcW w:w="3815" w:type="dxa"/>
            <w:gridSpan w:val="2"/>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座面和椅背静载荷试验</w:t>
            </w:r>
          </w:p>
        </w:tc>
        <w:tc>
          <w:tcPr>
            <w:tcW w:w="2780"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 xml:space="preserve">GB/T 3324-2017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888"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23</w:t>
            </w:r>
          </w:p>
        </w:tc>
        <w:tc>
          <w:tcPr>
            <w:tcW w:w="1691" w:type="dxa"/>
            <w:vMerge w:val="continue"/>
            <w:vAlign w:val="center"/>
          </w:tcPr>
          <w:p>
            <w:pPr>
              <w:snapToGrid w:val="0"/>
              <w:jc w:val="center"/>
              <w:rPr>
                <w:rFonts w:hint="default" w:ascii="Times New Roman" w:hAnsi="Times New Roman" w:cs="Times New Roman"/>
                <w:color w:val="000000"/>
                <w:szCs w:val="21"/>
              </w:rPr>
            </w:pPr>
          </w:p>
        </w:tc>
        <w:tc>
          <w:tcPr>
            <w:tcW w:w="3815" w:type="dxa"/>
            <w:gridSpan w:val="2"/>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椅腿前向静载荷试验</w:t>
            </w:r>
          </w:p>
        </w:tc>
        <w:tc>
          <w:tcPr>
            <w:tcW w:w="2780"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GB/T 3324-2017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888"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24</w:t>
            </w:r>
          </w:p>
        </w:tc>
        <w:tc>
          <w:tcPr>
            <w:tcW w:w="1691" w:type="dxa"/>
            <w:vMerge w:val="continue"/>
            <w:vAlign w:val="center"/>
          </w:tcPr>
          <w:p>
            <w:pPr>
              <w:snapToGrid w:val="0"/>
              <w:jc w:val="center"/>
              <w:rPr>
                <w:rFonts w:hint="default" w:ascii="Times New Roman" w:hAnsi="Times New Roman" w:cs="Times New Roman"/>
                <w:color w:val="000000"/>
                <w:szCs w:val="21"/>
              </w:rPr>
            </w:pPr>
          </w:p>
        </w:tc>
        <w:tc>
          <w:tcPr>
            <w:tcW w:w="3815" w:type="dxa"/>
            <w:gridSpan w:val="2"/>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椅腿侧向静载荷试验</w:t>
            </w:r>
          </w:p>
        </w:tc>
        <w:tc>
          <w:tcPr>
            <w:tcW w:w="2780"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 xml:space="preserve">GB/T 3324-2017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888"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25</w:t>
            </w:r>
          </w:p>
        </w:tc>
        <w:tc>
          <w:tcPr>
            <w:tcW w:w="1691" w:type="dxa"/>
            <w:vMerge w:val="continue"/>
            <w:vAlign w:val="center"/>
          </w:tcPr>
          <w:p>
            <w:pPr>
              <w:snapToGrid w:val="0"/>
              <w:jc w:val="center"/>
              <w:rPr>
                <w:rFonts w:hint="default" w:ascii="Times New Roman" w:hAnsi="Times New Roman" w:cs="Times New Roman"/>
                <w:color w:val="000000"/>
                <w:szCs w:val="21"/>
              </w:rPr>
            </w:pPr>
          </w:p>
        </w:tc>
        <w:tc>
          <w:tcPr>
            <w:tcW w:w="3815" w:type="dxa"/>
            <w:gridSpan w:val="2"/>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座面冲击试验</w:t>
            </w:r>
          </w:p>
        </w:tc>
        <w:tc>
          <w:tcPr>
            <w:tcW w:w="2780"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 xml:space="preserve">GB/T 3324-2017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888"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26</w:t>
            </w:r>
          </w:p>
        </w:tc>
        <w:tc>
          <w:tcPr>
            <w:tcW w:w="1691" w:type="dxa"/>
            <w:vMerge w:val="continue"/>
            <w:vAlign w:val="center"/>
          </w:tcPr>
          <w:p>
            <w:pPr>
              <w:snapToGrid w:val="0"/>
              <w:jc w:val="center"/>
              <w:rPr>
                <w:rFonts w:hint="default" w:ascii="Times New Roman" w:hAnsi="Times New Roman" w:cs="Times New Roman"/>
                <w:color w:val="000000"/>
                <w:szCs w:val="21"/>
              </w:rPr>
            </w:pPr>
          </w:p>
        </w:tc>
        <w:tc>
          <w:tcPr>
            <w:tcW w:w="3815" w:type="dxa"/>
            <w:gridSpan w:val="2"/>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跌落试验</w:t>
            </w:r>
          </w:p>
        </w:tc>
        <w:tc>
          <w:tcPr>
            <w:tcW w:w="2780"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 xml:space="preserve">GB/T 3324-2017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888"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27</w:t>
            </w:r>
          </w:p>
        </w:tc>
        <w:tc>
          <w:tcPr>
            <w:tcW w:w="1691" w:type="dxa"/>
            <w:vMerge w:val="continue"/>
            <w:vAlign w:val="center"/>
          </w:tcPr>
          <w:p>
            <w:pPr>
              <w:snapToGrid w:val="0"/>
              <w:jc w:val="center"/>
              <w:rPr>
                <w:rFonts w:hint="default" w:ascii="Times New Roman" w:hAnsi="Times New Roman" w:cs="Times New Roman"/>
                <w:color w:val="000000"/>
                <w:szCs w:val="21"/>
              </w:rPr>
            </w:pPr>
          </w:p>
        </w:tc>
        <w:tc>
          <w:tcPr>
            <w:tcW w:w="3815" w:type="dxa"/>
            <w:gridSpan w:val="2"/>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稳定性</w:t>
            </w:r>
          </w:p>
        </w:tc>
        <w:tc>
          <w:tcPr>
            <w:tcW w:w="2780"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GB/T 3324-2017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888"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28</w:t>
            </w:r>
          </w:p>
        </w:tc>
        <w:tc>
          <w:tcPr>
            <w:tcW w:w="1691" w:type="dxa"/>
            <w:vMerge w:val="restart"/>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力学性能（单层床）</w:t>
            </w:r>
          </w:p>
        </w:tc>
        <w:tc>
          <w:tcPr>
            <w:tcW w:w="3815" w:type="dxa"/>
            <w:gridSpan w:val="2"/>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床铺面集中静载荷试验</w:t>
            </w:r>
          </w:p>
        </w:tc>
        <w:tc>
          <w:tcPr>
            <w:tcW w:w="2780"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 xml:space="preserve">GB/T 3324-2017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888"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29</w:t>
            </w:r>
          </w:p>
        </w:tc>
        <w:tc>
          <w:tcPr>
            <w:tcW w:w="1691" w:type="dxa"/>
            <w:vMerge w:val="continue"/>
            <w:vAlign w:val="center"/>
          </w:tcPr>
          <w:p>
            <w:pPr>
              <w:snapToGrid w:val="0"/>
              <w:jc w:val="center"/>
              <w:rPr>
                <w:rFonts w:hint="default" w:ascii="Times New Roman" w:hAnsi="Times New Roman" w:cs="Times New Roman"/>
                <w:color w:val="000000"/>
                <w:szCs w:val="21"/>
              </w:rPr>
            </w:pPr>
          </w:p>
        </w:tc>
        <w:tc>
          <w:tcPr>
            <w:tcW w:w="3815" w:type="dxa"/>
            <w:gridSpan w:val="2"/>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床长边静载荷试验</w:t>
            </w:r>
          </w:p>
        </w:tc>
        <w:tc>
          <w:tcPr>
            <w:tcW w:w="2780"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 xml:space="preserve">GB/T 3324-2017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888"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30</w:t>
            </w:r>
          </w:p>
        </w:tc>
        <w:tc>
          <w:tcPr>
            <w:tcW w:w="1691" w:type="dxa"/>
            <w:vMerge w:val="continue"/>
            <w:vAlign w:val="center"/>
          </w:tcPr>
          <w:p>
            <w:pPr>
              <w:snapToGrid w:val="0"/>
              <w:jc w:val="center"/>
              <w:rPr>
                <w:rFonts w:hint="default" w:ascii="Times New Roman" w:hAnsi="Times New Roman" w:cs="Times New Roman"/>
                <w:color w:val="000000"/>
                <w:szCs w:val="21"/>
              </w:rPr>
            </w:pPr>
          </w:p>
        </w:tc>
        <w:tc>
          <w:tcPr>
            <w:tcW w:w="3815" w:type="dxa"/>
            <w:gridSpan w:val="2"/>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床铺面冲击载荷试验</w:t>
            </w:r>
          </w:p>
        </w:tc>
        <w:tc>
          <w:tcPr>
            <w:tcW w:w="2780"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 xml:space="preserve">GB/T 3324-2017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888" w:type="dxa"/>
            <w:vAlign w:val="center"/>
          </w:tcPr>
          <w:p>
            <w:pPr>
              <w:snapToGrid w:val="0"/>
              <w:jc w:val="center"/>
              <w:rPr>
                <w:rFonts w:hint="default" w:ascii="Times New Roman" w:hAnsi="Times New Roman" w:cs="Times New Roman"/>
                <w:color w:val="000000"/>
                <w:szCs w:val="21"/>
                <w:highlight w:val="none"/>
              </w:rPr>
            </w:pPr>
            <w:r>
              <w:rPr>
                <w:rFonts w:hint="default" w:ascii="Times New Roman" w:hAnsi="Times New Roman" w:cs="Times New Roman"/>
                <w:color w:val="000000"/>
                <w:szCs w:val="21"/>
                <w:highlight w:val="none"/>
              </w:rPr>
              <w:t>31</w:t>
            </w:r>
          </w:p>
        </w:tc>
        <w:tc>
          <w:tcPr>
            <w:tcW w:w="5506" w:type="dxa"/>
            <w:gridSpan w:val="3"/>
            <w:vAlign w:val="center"/>
          </w:tcPr>
          <w:p>
            <w:pPr>
              <w:snapToGrid w:val="0"/>
              <w:jc w:val="center"/>
              <w:rPr>
                <w:rFonts w:hint="default" w:ascii="Times New Roman" w:hAnsi="Times New Roman" w:cs="Times New Roman"/>
                <w:color w:val="000000"/>
                <w:szCs w:val="21"/>
                <w:highlight w:val="none"/>
              </w:rPr>
            </w:pPr>
            <w:r>
              <w:rPr>
                <w:rFonts w:hint="default" w:ascii="Times New Roman" w:hAnsi="Times New Roman" w:cs="Times New Roman"/>
                <w:color w:val="000000"/>
                <w:szCs w:val="21"/>
                <w:highlight w:val="none"/>
              </w:rPr>
              <w:t>结构安全性（5.8.1.1、5.8.1.3、5.8.1.4）</w:t>
            </w:r>
          </w:p>
        </w:tc>
        <w:tc>
          <w:tcPr>
            <w:tcW w:w="2780" w:type="dxa"/>
            <w:vAlign w:val="center"/>
          </w:tcPr>
          <w:p>
            <w:pPr>
              <w:snapToGrid w:val="0"/>
              <w:jc w:val="center"/>
              <w:rPr>
                <w:rFonts w:hint="default" w:ascii="Times New Roman" w:hAnsi="Times New Roman" w:cs="Times New Roman"/>
                <w:color w:val="000000"/>
                <w:szCs w:val="21"/>
                <w:highlight w:val="none"/>
              </w:rPr>
            </w:pPr>
            <w:r>
              <w:rPr>
                <w:rFonts w:hint="default" w:ascii="Times New Roman" w:hAnsi="Times New Roman" w:cs="Times New Roman"/>
                <w:color w:val="000000"/>
                <w:szCs w:val="21"/>
                <w:highlight w:val="none"/>
              </w:rPr>
              <w:t xml:space="preserve">GB/T 3324-2017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888"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32</w:t>
            </w:r>
          </w:p>
        </w:tc>
        <w:tc>
          <w:tcPr>
            <w:tcW w:w="5506" w:type="dxa"/>
            <w:gridSpan w:val="3"/>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甲醛释放量</w:t>
            </w:r>
          </w:p>
        </w:tc>
        <w:tc>
          <w:tcPr>
            <w:tcW w:w="2780"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szCs w:val="21"/>
              </w:rPr>
              <w:t xml:space="preserve">GB 18584-2001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888"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33</w:t>
            </w:r>
          </w:p>
        </w:tc>
        <w:tc>
          <w:tcPr>
            <w:tcW w:w="3407" w:type="dxa"/>
            <w:gridSpan w:val="2"/>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重金属含量（可溶性铅）</w:t>
            </w:r>
          </w:p>
        </w:tc>
        <w:tc>
          <w:tcPr>
            <w:tcW w:w="2099" w:type="dxa"/>
            <w:vMerge w:val="restart"/>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限色</w:t>
            </w:r>
            <w:bookmarkStart w:id="0" w:name="_GoBack"/>
            <w:bookmarkEnd w:id="0"/>
            <w:r>
              <w:rPr>
                <w:rFonts w:hint="default" w:ascii="Times New Roman" w:hAnsi="Times New Roman" w:cs="Times New Roman"/>
                <w:color w:val="000000"/>
                <w:szCs w:val="21"/>
              </w:rPr>
              <w:t>漆</w:t>
            </w:r>
          </w:p>
        </w:tc>
        <w:tc>
          <w:tcPr>
            <w:tcW w:w="2780"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szCs w:val="21"/>
              </w:rPr>
              <w:t xml:space="preserve">GB 18584-2001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888"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34</w:t>
            </w:r>
          </w:p>
        </w:tc>
        <w:tc>
          <w:tcPr>
            <w:tcW w:w="3407" w:type="dxa"/>
            <w:gridSpan w:val="2"/>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重金属含量（可溶性镉）</w:t>
            </w:r>
          </w:p>
        </w:tc>
        <w:tc>
          <w:tcPr>
            <w:tcW w:w="2099" w:type="dxa"/>
            <w:vMerge w:val="continue"/>
            <w:vAlign w:val="center"/>
          </w:tcPr>
          <w:p>
            <w:pPr>
              <w:snapToGrid w:val="0"/>
              <w:jc w:val="center"/>
              <w:rPr>
                <w:rFonts w:hint="default" w:ascii="Times New Roman" w:hAnsi="Times New Roman" w:cs="Times New Roman"/>
                <w:color w:val="000000"/>
                <w:szCs w:val="21"/>
              </w:rPr>
            </w:pPr>
          </w:p>
        </w:tc>
        <w:tc>
          <w:tcPr>
            <w:tcW w:w="2780"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szCs w:val="21"/>
              </w:rPr>
              <w:t xml:space="preserve">GB 18584-2001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888"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35</w:t>
            </w:r>
          </w:p>
        </w:tc>
        <w:tc>
          <w:tcPr>
            <w:tcW w:w="3407" w:type="dxa"/>
            <w:gridSpan w:val="2"/>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重金属含量（可溶性铬）</w:t>
            </w:r>
          </w:p>
        </w:tc>
        <w:tc>
          <w:tcPr>
            <w:tcW w:w="2099" w:type="dxa"/>
            <w:vMerge w:val="continue"/>
            <w:vAlign w:val="center"/>
          </w:tcPr>
          <w:p>
            <w:pPr>
              <w:snapToGrid w:val="0"/>
              <w:jc w:val="center"/>
              <w:rPr>
                <w:rFonts w:hint="default" w:ascii="Times New Roman" w:hAnsi="Times New Roman" w:cs="Times New Roman"/>
                <w:color w:val="000000"/>
                <w:szCs w:val="21"/>
              </w:rPr>
            </w:pPr>
          </w:p>
        </w:tc>
        <w:tc>
          <w:tcPr>
            <w:tcW w:w="2780"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szCs w:val="21"/>
              </w:rPr>
              <w:t xml:space="preserve">GB 18584-2001 </w:t>
            </w:r>
          </w:p>
        </w:tc>
      </w:tr>
      <w:tr>
        <w:tblPrEx>
          <w:tblLayout w:type="fixed"/>
          <w:tblCellMar>
            <w:top w:w="0" w:type="dxa"/>
            <w:left w:w="108" w:type="dxa"/>
            <w:bottom w:w="0" w:type="dxa"/>
            <w:right w:w="108" w:type="dxa"/>
          </w:tblCellMar>
        </w:tblPrEx>
        <w:trPr>
          <w:trHeight w:val="465" w:hRule="atLeast"/>
        </w:trPr>
        <w:tc>
          <w:tcPr>
            <w:tcW w:w="888"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36</w:t>
            </w:r>
          </w:p>
        </w:tc>
        <w:tc>
          <w:tcPr>
            <w:tcW w:w="3407" w:type="dxa"/>
            <w:gridSpan w:val="2"/>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重金属含量（可溶性汞）</w:t>
            </w:r>
          </w:p>
        </w:tc>
        <w:tc>
          <w:tcPr>
            <w:tcW w:w="2099" w:type="dxa"/>
            <w:vMerge w:val="continue"/>
            <w:vAlign w:val="center"/>
          </w:tcPr>
          <w:p>
            <w:pPr>
              <w:snapToGrid w:val="0"/>
              <w:jc w:val="center"/>
              <w:rPr>
                <w:rFonts w:hint="default" w:ascii="Times New Roman" w:hAnsi="Times New Roman" w:cs="Times New Roman"/>
                <w:color w:val="000000"/>
                <w:szCs w:val="21"/>
              </w:rPr>
            </w:pPr>
          </w:p>
        </w:tc>
        <w:tc>
          <w:tcPr>
            <w:tcW w:w="2780" w:type="dxa"/>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szCs w:val="21"/>
              </w:rPr>
              <w:t xml:space="preserve">GB 18584-2001 </w:t>
            </w:r>
          </w:p>
        </w:tc>
      </w:tr>
    </w:tbl>
    <w:p>
      <w:pPr>
        <w:adjustRightInd w:val="0"/>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执行企业标准、团体标准、地方标准的产品，检验项目参照上述内容执行。</w:t>
      </w:r>
    </w:p>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凡是注日期的文件，其随后所有的修改单（不包括勘误的内容）或修订版不适用于本细则。凡是不注日期的文件，其最新版本适用于本细则。</w:t>
      </w:r>
    </w:p>
    <w:p>
      <w:pPr>
        <w:rPr>
          <w:rFonts w:hint="default" w:ascii="Times New Roman" w:hAnsi="Times New Roman" w:eastAsia="仿宋" w:cs="Times New Roman"/>
          <w:b/>
          <w:bCs/>
        </w:rPr>
      </w:pPr>
    </w:p>
    <w:p>
      <w:pPr>
        <w:spacing w:line="360" w:lineRule="auto"/>
        <w:rPr>
          <w:rFonts w:hint="default" w:ascii="Times New Roman" w:hAnsi="Times New Roman" w:eastAsia="黑体" w:cs="Times New Roman"/>
          <w:color w:val="000000"/>
          <w:szCs w:val="21"/>
        </w:rPr>
      </w:pPr>
      <w:r>
        <w:rPr>
          <w:rFonts w:hint="default" w:ascii="Times New Roman" w:hAnsi="Times New Roman" w:eastAsia="黑体" w:cs="Times New Roman"/>
          <w:color w:val="000000"/>
          <w:szCs w:val="21"/>
        </w:rPr>
        <w:t>3 判定规则</w:t>
      </w:r>
    </w:p>
    <w:p>
      <w:pPr>
        <w:snapToGrid w:val="0"/>
        <w:spacing w:line="360" w:lineRule="auto"/>
        <w:rPr>
          <w:rFonts w:hint="default" w:ascii="Times New Roman" w:hAnsi="Times New Roman" w:cs="Times New Roman"/>
          <w:color w:val="000000"/>
          <w:szCs w:val="21"/>
        </w:rPr>
      </w:pPr>
      <w:r>
        <w:rPr>
          <w:rFonts w:hint="default" w:ascii="Times New Roman" w:hAnsi="Times New Roman" w:cs="Times New Roman"/>
          <w:color w:val="000000"/>
          <w:szCs w:val="21"/>
        </w:rPr>
        <w:t>3.1依据标准</w:t>
      </w:r>
    </w:p>
    <w:p>
      <w:pPr>
        <w:snapToGrid w:val="0"/>
        <w:spacing w:line="360" w:lineRule="auto"/>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GB/T 3324-2017 木家具通用技术条件</w:t>
      </w:r>
    </w:p>
    <w:p>
      <w:pPr>
        <w:snapToGrid w:val="0"/>
        <w:spacing w:line="360" w:lineRule="auto"/>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GB 18584-2001 室内装饰装修材料 木家具中有害物质限量现行有效的企业标准、团体标准、地方标准及产品明示质量要求</w:t>
      </w:r>
    </w:p>
    <w:p>
      <w:pPr>
        <w:snapToGrid w:val="0"/>
        <w:spacing w:line="360" w:lineRule="auto"/>
        <w:rPr>
          <w:rFonts w:hint="default" w:ascii="Times New Roman" w:hAnsi="Times New Roman" w:cs="Times New Roman"/>
          <w:color w:val="000000"/>
          <w:szCs w:val="21"/>
        </w:rPr>
      </w:pPr>
      <w:r>
        <w:rPr>
          <w:rFonts w:hint="default" w:ascii="Times New Roman" w:hAnsi="Times New Roman" w:cs="Times New Roman"/>
          <w:color w:val="000000"/>
          <w:szCs w:val="21"/>
        </w:rPr>
        <w:t>3.2判定原则</w:t>
      </w:r>
    </w:p>
    <w:p>
      <w:pPr>
        <w:snapToGrid w:val="0"/>
        <w:spacing w:line="384" w:lineRule="auto"/>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经检验，检验项目全部合格，判定为被抽查产品所检项目未发现不合格；检验项目中任一项或一项以上不合格，判定为被抽查产品不合格。</w:t>
      </w:r>
    </w:p>
    <w:p>
      <w:pPr>
        <w:snapToGrid w:val="0"/>
        <w:spacing w:line="384" w:lineRule="auto"/>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若被检产品明示的质量要求高于本细则中检验项目依据的标准要求时，应按被检产品明示的质量要求判定。</w:t>
      </w:r>
    </w:p>
    <w:p>
      <w:pPr>
        <w:snapToGrid w:val="0"/>
        <w:spacing w:line="384" w:lineRule="auto"/>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若被检产品明示的质量要求低于本细则中检验项目依据的强制性标准要求时，应按照强制性标准要求判定。</w:t>
      </w:r>
    </w:p>
    <w:p>
      <w:pPr>
        <w:snapToGrid w:val="0"/>
        <w:spacing w:line="384" w:lineRule="auto"/>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若被检产品明示的质量要求低于或包含本细则中检验项目依据的推荐性标准要求时，应以被检产品明示的质量要求判定。</w:t>
      </w:r>
    </w:p>
    <w:p>
      <w:pPr>
        <w:snapToGrid w:val="0"/>
        <w:spacing w:line="384" w:lineRule="auto"/>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若被检产品明示的质量要求缺少本细则中检验项目依据的强制性标准要求时，应按照强制性标准要求判定。</w:t>
      </w:r>
    </w:p>
    <w:p>
      <w:pPr>
        <w:snapToGrid w:val="0"/>
        <w:spacing w:line="384" w:lineRule="auto"/>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若被检产品明示的质量要求缺少本细则中检验项目依据的推荐性标准要求时，该项目不参与判定。</w:t>
      </w:r>
    </w:p>
    <w:p>
      <w:pPr>
        <w:snapToGrid w:val="0"/>
        <w:spacing w:line="384" w:lineRule="auto"/>
        <w:ind w:firstLine="420" w:firstLineChars="200"/>
        <w:rPr>
          <w:rFonts w:hint="default" w:ascii="Times New Roman" w:hAnsi="Times New Roman" w:cs="Times New Roman"/>
          <w:color w:val="000000"/>
          <w:szCs w:val="21"/>
        </w:rPr>
      </w:pPr>
    </w:p>
    <w:p>
      <w:pPr>
        <w:spacing w:line="440" w:lineRule="exact"/>
        <w:rPr>
          <w:rFonts w:hint="default" w:ascii="Times New Roman" w:hAnsi="Times New Roman" w:eastAsia="黑体" w:cs="Times New Roman"/>
          <w:color w:val="000000"/>
          <w:szCs w:val="21"/>
          <w:highlight w:val="none"/>
        </w:rPr>
      </w:pPr>
      <w:r>
        <w:rPr>
          <w:rFonts w:hint="default" w:ascii="Times New Roman" w:hAnsi="Times New Roman" w:eastAsia="黑体" w:cs="Times New Roman"/>
          <w:color w:val="000000"/>
          <w:szCs w:val="21"/>
          <w:highlight w:val="none"/>
        </w:rPr>
        <w:t>4 附则</w:t>
      </w:r>
    </w:p>
    <w:p>
      <w:pPr>
        <w:spacing w:line="440" w:lineRule="exact"/>
        <w:ind w:firstLine="420" w:firstLineChars="200"/>
        <w:rPr>
          <w:rFonts w:hint="default" w:ascii="Times New Roman" w:hAnsi="Times New Roman" w:cs="Times New Roman"/>
          <w:color w:val="FF0000"/>
          <w:szCs w:val="21"/>
          <w:highlight w:val="none"/>
        </w:rPr>
      </w:pPr>
      <w:r>
        <w:rPr>
          <w:rFonts w:hint="default" w:ascii="Times New Roman" w:hAnsi="Times New Roman" w:cs="Times New Roman"/>
          <w:color w:val="000000"/>
          <w:szCs w:val="21"/>
          <w:highlight w:val="none"/>
        </w:rPr>
        <w:t>本细则代替《市场监管总局关于发布131种产品质量国家监督抽查实施细则的公告》（2020年第36号）中的《木制家具产品质量国家监督抽查实施细则》。</w:t>
      </w:r>
    </w:p>
    <w:p>
      <w:pPr>
        <w:snapToGrid w:val="0"/>
        <w:spacing w:line="384" w:lineRule="auto"/>
        <w:ind w:firstLine="420" w:firstLineChars="200"/>
        <w:rPr>
          <w:rFonts w:hint="default" w:ascii="Times New Roman" w:hAnsi="Times New Roman" w:cs="Times New Roman"/>
          <w:color w:val="000000"/>
          <w:szCs w:val="21"/>
          <w:highlight w:val="none"/>
        </w:rPr>
      </w:pPr>
    </w:p>
    <w:sectPr>
      <w:footerReference r:id="rId3" w:type="default"/>
      <w:pgSz w:w="11906" w:h="16838"/>
      <w:pgMar w:top="1984" w:right="1474" w:bottom="1644" w:left="1474" w:header="851" w:footer="119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57785" cy="131445"/>
              <wp:effectExtent l="0" t="0" r="0" b="0"/>
              <wp:wrapNone/>
              <wp:docPr id="1" name="Text Box 1025"/>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pPr>
                            <w:pStyle w:val="7"/>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p>
                      </w:txbxContent>
                    </wps:txbx>
                    <wps:bodyPr rot="0" vert="horz" wrap="none" lIns="0" tIns="0" rIns="0" bIns="0" anchor="t" anchorCtr="0" upright="1">
                      <a:spAutoFit/>
                    </wps:bodyPr>
                  </wps:wsp>
                </a:graphicData>
              </a:graphic>
            </wp:anchor>
          </w:drawing>
        </mc:Choice>
        <mc:Fallback>
          <w:pict>
            <v:shape id="Text Box 1025" o:spid="_x0000_s1026" o:spt="202" type="#_x0000_t202" style="position:absolute;left:0pt;margin-top:0pt;height:10.35pt;width:4.55pt;mso-position-horizontal:center;mso-position-horizontal-relative:margin;mso-wrap-style:none;z-index:251658240;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OpjHi/gAQAAtQMAAA4AAABkcnMvZTJvRG9jLnhtbK1T227bMAx9H7B/&#10;EPS+2M6atTDiFF2LDAO6C9DuA2RZtoVZokApsbOvHyXHWbe9DXsRaJI6Ojw83t5OZmBHhV6DrXix&#10;yjlTVkKjbVfxb8/7Nzec+SBsIwawquIn5fnt7vWr7ehKtYYehkYhIxDry9FVvA/BlVnmZa+M8Ctw&#10;ylKxBTQi0Cd2WYNiJHQzZOs8f5eNgI1DkMp7yj7MRb5L+G2rZPjStl4FNlScuIV0YjrreGa7rSg7&#10;FK7X8kxD/AMLI7SlRy9QDyIIdkD9F5TREsFDG1YSTAZtq6VKM9A0Rf7HNE+9cCrNQuJ4d5HJ/z9Y&#10;+fn4FZluaHecWWFoRc9qCuw9TKzI15so0Oh8SX1PjjrDRJXYHIf17hHkd88s3PfCduoOEcZeiYYI&#10;FvFm9uLqjOMjSD1+goZeEocACWhq0URA0oMROi3qdFlOZCMpubm+vtlwJqlSvC2urhK1TJTLXYc+&#10;fFBgWAwqjrT6hC2Ojz5ELqJcWuJTFvZ6GNL6B/tbghpjJnGPdGfiYaqnsxY1NCeaAmF2E7mfgh7w&#10;B2cjOanilqzO2fDRkg7RdEuAS1AvgbCSLlY8cDaH92E258Gh7nrCXZS+I632Og0SRZ05nFmSN9J8&#10;Zx9H8738Tl2//rbdT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L3UTQAAAAAgEAAA8AAAAAAAAA&#10;AQAgAAAAIgAAAGRycy9kb3ducmV2LnhtbFBLAQIUABQAAAAIAIdO4kDqYx4v4AEAALUDAAAOAAAA&#10;AAAAAAEAIAAAAB8BAABkcnMvZTJvRG9jLnhtbFBLBQYAAAAABgAGAFkBAABxBQAAAAA=&#10;">
              <v:fill on="f" focussize="0,0"/>
              <v:stroke on="f"/>
              <v:imagedata o:title=""/>
              <o:lock v:ext="edit" aspectratio="f"/>
              <v:textbox inset="0mm,0mm,0mm,0mm" style="mso-fit-shape-to-text:t;">
                <w:txbxContent>
                  <w:p>
                    <w:pPr>
                      <w:pStyle w:val="7"/>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1BA"/>
    <w:rsid w:val="00014997"/>
    <w:rsid w:val="00030852"/>
    <w:rsid w:val="00052D0A"/>
    <w:rsid w:val="00053DF0"/>
    <w:rsid w:val="000660D8"/>
    <w:rsid w:val="0006741A"/>
    <w:rsid w:val="00080190"/>
    <w:rsid w:val="000A0C0F"/>
    <w:rsid w:val="000A1F68"/>
    <w:rsid w:val="000B2754"/>
    <w:rsid w:val="000E5A92"/>
    <w:rsid w:val="000E6B70"/>
    <w:rsid w:val="000F3EFF"/>
    <w:rsid w:val="0010045C"/>
    <w:rsid w:val="001134E2"/>
    <w:rsid w:val="00130C21"/>
    <w:rsid w:val="0013450E"/>
    <w:rsid w:val="00135D58"/>
    <w:rsid w:val="001479E1"/>
    <w:rsid w:val="00160B75"/>
    <w:rsid w:val="00175325"/>
    <w:rsid w:val="001960E8"/>
    <w:rsid w:val="00197FAE"/>
    <w:rsid w:val="001B1ECE"/>
    <w:rsid w:val="001B3557"/>
    <w:rsid w:val="001D3021"/>
    <w:rsid w:val="001E7E75"/>
    <w:rsid w:val="001F4D89"/>
    <w:rsid w:val="002642D1"/>
    <w:rsid w:val="00283526"/>
    <w:rsid w:val="00287CFB"/>
    <w:rsid w:val="002A1067"/>
    <w:rsid w:val="002C75FA"/>
    <w:rsid w:val="002F3260"/>
    <w:rsid w:val="00301FD0"/>
    <w:rsid w:val="003139FD"/>
    <w:rsid w:val="00342341"/>
    <w:rsid w:val="00354255"/>
    <w:rsid w:val="00355360"/>
    <w:rsid w:val="00360312"/>
    <w:rsid w:val="003611BA"/>
    <w:rsid w:val="003701D3"/>
    <w:rsid w:val="00394768"/>
    <w:rsid w:val="003C4925"/>
    <w:rsid w:val="003E4BDB"/>
    <w:rsid w:val="004123BE"/>
    <w:rsid w:val="004565AD"/>
    <w:rsid w:val="004A34C8"/>
    <w:rsid w:val="004A4DFC"/>
    <w:rsid w:val="004B599D"/>
    <w:rsid w:val="004C6EAB"/>
    <w:rsid w:val="004C79DF"/>
    <w:rsid w:val="004D05AF"/>
    <w:rsid w:val="004E21AE"/>
    <w:rsid w:val="004E3189"/>
    <w:rsid w:val="004E43E4"/>
    <w:rsid w:val="004E741E"/>
    <w:rsid w:val="00507AE0"/>
    <w:rsid w:val="0051512A"/>
    <w:rsid w:val="00560FE5"/>
    <w:rsid w:val="0058127B"/>
    <w:rsid w:val="00624DD6"/>
    <w:rsid w:val="006350F9"/>
    <w:rsid w:val="0064014B"/>
    <w:rsid w:val="00652075"/>
    <w:rsid w:val="00652B40"/>
    <w:rsid w:val="00660FFF"/>
    <w:rsid w:val="00670265"/>
    <w:rsid w:val="0067449B"/>
    <w:rsid w:val="00675807"/>
    <w:rsid w:val="006C75F5"/>
    <w:rsid w:val="006D2C66"/>
    <w:rsid w:val="006F3686"/>
    <w:rsid w:val="006F6818"/>
    <w:rsid w:val="00700705"/>
    <w:rsid w:val="007032EA"/>
    <w:rsid w:val="00712FE6"/>
    <w:rsid w:val="00721DBD"/>
    <w:rsid w:val="007346B4"/>
    <w:rsid w:val="007408AB"/>
    <w:rsid w:val="0076570D"/>
    <w:rsid w:val="00766407"/>
    <w:rsid w:val="007B5143"/>
    <w:rsid w:val="007C5B37"/>
    <w:rsid w:val="007E7B78"/>
    <w:rsid w:val="00801099"/>
    <w:rsid w:val="0081765C"/>
    <w:rsid w:val="00842CE3"/>
    <w:rsid w:val="008536DB"/>
    <w:rsid w:val="00863267"/>
    <w:rsid w:val="00863F48"/>
    <w:rsid w:val="00872CC4"/>
    <w:rsid w:val="008737DB"/>
    <w:rsid w:val="00877F66"/>
    <w:rsid w:val="008B4A07"/>
    <w:rsid w:val="008D5AB0"/>
    <w:rsid w:val="008E4C32"/>
    <w:rsid w:val="008F131B"/>
    <w:rsid w:val="00910C47"/>
    <w:rsid w:val="00911043"/>
    <w:rsid w:val="00924FE0"/>
    <w:rsid w:val="00933214"/>
    <w:rsid w:val="00963128"/>
    <w:rsid w:val="009740D6"/>
    <w:rsid w:val="009A6925"/>
    <w:rsid w:val="009B06A4"/>
    <w:rsid w:val="009B3AF3"/>
    <w:rsid w:val="009B48C4"/>
    <w:rsid w:val="009C1C38"/>
    <w:rsid w:val="009D2CD9"/>
    <w:rsid w:val="009D2E2A"/>
    <w:rsid w:val="009E6086"/>
    <w:rsid w:val="009F189F"/>
    <w:rsid w:val="00A055B0"/>
    <w:rsid w:val="00A0674B"/>
    <w:rsid w:val="00A16228"/>
    <w:rsid w:val="00A4091B"/>
    <w:rsid w:val="00A45E64"/>
    <w:rsid w:val="00A5157E"/>
    <w:rsid w:val="00A66A3D"/>
    <w:rsid w:val="00A7543F"/>
    <w:rsid w:val="00A77E8A"/>
    <w:rsid w:val="00A916BA"/>
    <w:rsid w:val="00A93A2D"/>
    <w:rsid w:val="00AB2350"/>
    <w:rsid w:val="00AB462B"/>
    <w:rsid w:val="00AC4F00"/>
    <w:rsid w:val="00AD0E3E"/>
    <w:rsid w:val="00AD610D"/>
    <w:rsid w:val="00AE1821"/>
    <w:rsid w:val="00AE471A"/>
    <w:rsid w:val="00AE5734"/>
    <w:rsid w:val="00AF5572"/>
    <w:rsid w:val="00B008B5"/>
    <w:rsid w:val="00B100BF"/>
    <w:rsid w:val="00B51584"/>
    <w:rsid w:val="00B54E2B"/>
    <w:rsid w:val="00B55224"/>
    <w:rsid w:val="00B80476"/>
    <w:rsid w:val="00B97F97"/>
    <w:rsid w:val="00BC036B"/>
    <w:rsid w:val="00BD109E"/>
    <w:rsid w:val="00BD2490"/>
    <w:rsid w:val="00BD3023"/>
    <w:rsid w:val="00C04FF3"/>
    <w:rsid w:val="00C06EF5"/>
    <w:rsid w:val="00C075F6"/>
    <w:rsid w:val="00C174BC"/>
    <w:rsid w:val="00C17712"/>
    <w:rsid w:val="00C17F20"/>
    <w:rsid w:val="00C207B1"/>
    <w:rsid w:val="00C21785"/>
    <w:rsid w:val="00C345BB"/>
    <w:rsid w:val="00C46A22"/>
    <w:rsid w:val="00C57739"/>
    <w:rsid w:val="00C636A3"/>
    <w:rsid w:val="00C637C7"/>
    <w:rsid w:val="00C71A81"/>
    <w:rsid w:val="00C9467F"/>
    <w:rsid w:val="00CA58E7"/>
    <w:rsid w:val="00CD3877"/>
    <w:rsid w:val="00CF5F1B"/>
    <w:rsid w:val="00D1325F"/>
    <w:rsid w:val="00D15332"/>
    <w:rsid w:val="00D31DB4"/>
    <w:rsid w:val="00D6657B"/>
    <w:rsid w:val="00D732ED"/>
    <w:rsid w:val="00D85C2A"/>
    <w:rsid w:val="00D879A0"/>
    <w:rsid w:val="00D92B01"/>
    <w:rsid w:val="00D9506C"/>
    <w:rsid w:val="00DB24B2"/>
    <w:rsid w:val="00DC0140"/>
    <w:rsid w:val="00DD42B6"/>
    <w:rsid w:val="00DD7E3B"/>
    <w:rsid w:val="00E1489E"/>
    <w:rsid w:val="00E155ED"/>
    <w:rsid w:val="00E24FC8"/>
    <w:rsid w:val="00E55DC8"/>
    <w:rsid w:val="00E735BE"/>
    <w:rsid w:val="00E96130"/>
    <w:rsid w:val="00ED2869"/>
    <w:rsid w:val="00EF0AC2"/>
    <w:rsid w:val="00EF2B9F"/>
    <w:rsid w:val="00F20A2A"/>
    <w:rsid w:val="00F97EA2"/>
    <w:rsid w:val="00FA2884"/>
    <w:rsid w:val="00FA45C8"/>
    <w:rsid w:val="00FA59DC"/>
    <w:rsid w:val="00FC0C80"/>
    <w:rsid w:val="00FE1549"/>
    <w:rsid w:val="00FF75D5"/>
    <w:rsid w:val="01757279"/>
    <w:rsid w:val="02394E6E"/>
    <w:rsid w:val="071C39DD"/>
    <w:rsid w:val="0BAC4466"/>
    <w:rsid w:val="0C3020D5"/>
    <w:rsid w:val="14707C4A"/>
    <w:rsid w:val="14A748C1"/>
    <w:rsid w:val="2230378B"/>
    <w:rsid w:val="29817179"/>
    <w:rsid w:val="2C062286"/>
    <w:rsid w:val="3BD8119D"/>
    <w:rsid w:val="3C005133"/>
    <w:rsid w:val="4A1D0919"/>
    <w:rsid w:val="4A9F398F"/>
    <w:rsid w:val="50401092"/>
    <w:rsid w:val="55CC633D"/>
    <w:rsid w:val="5DF51C50"/>
    <w:rsid w:val="60D566FD"/>
    <w:rsid w:val="61D054C2"/>
    <w:rsid w:val="61F5033B"/>
    <w:rsid w:val="652F585C"/>
    <w:rsid w:val="723415E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5"/>
    <w:qFormat/>
    <w:uiPriority w:val="9"/>
    <w:pPr>
      <w:keepNext/>
      <w:keepLines/>
      <w:spacing w:before="340" w:after="330" w:line="578" w:lineRule="auto"/>
      <w:outlineLvl w:val="0"/>
    </w:pPr>
    <w:rPr>
      <w:b/>
      <w:bCs/>
      <w:kern w:val="44"/>
      <w:sz w:val="44"/>
      <w:szCs w:val="44"/>
    </w:rPr>
  </w:style>
  <w:style w:type="character" w:default="1" w:styleId="10">
    <w:name w:val="Default Paragraph Font"/>
    <w:semiHidden/>
    <w:unhideWhenUsed/>
    <w:uiPriority w:val="1"/>
  </w:style>
  <w:style w:type="table" w:default="1" w:styleId="13">
    <w:name w:val="Normal Table"/>
    <w:semiHidden/>
    <w:unhideWhenUsed/>
    <w:uiPriority w:val="99"/>
    <w:tblPr>
      <w:tblLayout w:type="fixed"/>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Body Text Indent"/>
    <w:basedOn w:val="1"/>
    <w:link w:val="16"/>
    <w:qFormat/>
    <w:uiPriority w:val="0"/>
    <w:pPr>
      <w:ind w:firstLine="600" w:firstLineChars="200"/>
    </w:pPr>
    <w:rPr>
      <w:rFonts w:ascii="Times New Roman" w:hAnsi="Times New Roman" w:eastAsia="仿宋_GB2312"/>
      <w:sz w:val="30"/>
      <w:szCs w:val="24"/>
    </w:rPr>
  </w:style>
  <w:style w:type="paragraph" w:styleId="5">
    <w:name w:val="Plain Text"/>
    <w:basedOn w:val="1"/>
    <w:link w:val="17"/>
    <w:unhideWhenUsed/>
    <w:qFormat/>
    <w:uiPriority w:val="99"/>
    <w:rPr>
      <w:rFonts w:ascii="宋体" w:hAnsi="Courier New"/>
      <w:kern w:val="0"/>
      <w:sz w:val="20"/>
      <w:szCs w:val="20"/>
    </w:rPr>
  </w:style>
  <w:style w:type="paragraph" w:styleId="6">
    <w:name w:val="Balloon Text"/>
    <w:basedOn w:val="1"/>
    <w:link w:val="18"/>
    <w:unhideWhenUsed/>
    <w:qFormat/>
    <w:uiPriority w:val="99"/>
    <w:rPr>
      <w:sz w:val="18"/>
      <w:szCs w:val="18"/>
    </w:r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20"/>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Body Text Indent 3"/>
    <w:basedOn w:val="1"/>
    <w:link w:val="21"/>
    <w:qFormat/>
    <w:uiPriority w:val="0"/>
    <w:pPr>
      <w:widowControl/>
      <w:autoSpaceDE w:val="0"/>
      <w:autoSpaceDN w:val="0"/>
      <w:adjustRightInd w:val="0"/>
      <w:snapToGrid w:val="0"/>
      <w:spacing w:line="600" w:lineRule="exact"/>
      <w:ind w:left="646" w:leftChars="323" w:firstLine="643" w:firstLineChars="201"/>
    </w:pPr>
    <w:rPr>
      <w:rFonts w:ascii="仿宋_GB2312" w:hAnsi="Times New Roman" w:eastAsia="仿宋_GB2312"/>
      <w:kern w:val="0"/>
      <w:sz w:val="32"/>
      <w:szCs w:val="20"/>
    </w:rPr>
  </w:style>
  <w:style w:type="character" w:styleId="11">
    <w:name w:val="page number"/>
    <w:basedOn w:val="10"/>
    <w:qFormat/>
    <w:uiPriority w:val="0"/>
  </w:style>
  <w:style w:type="character" w:styleId="12">
    <w:name w:val="annotation reference"/>
    <w:basedOn w:val="10"/>
    <w:semiHidden/>
    <w:unhideWhenUsed/>
    <w:qFormat/>
    <w:uiPriority w:val="99"/>
    <w:rPr>
      <w:sz w:val="21"/>
      <w:szCs w:val="21"/>
    </w:rPr>
  </w:style>
  <w:style w:type="table" w:styleId="14">
    <w:name w:val="Table Grid"/>
    <w:basedOn w:val="13"/>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5">
    <w:name w:val="标题 1 字符"/>
    <w:basedOn w:val="10"/>
    <w:link w:val="2"/>
    <w:qFormat/>
    <w:uiPriority w:val="9"/>
    <w:rPr>
      <w:rFonts w:ascii="Calibri" w:hAnsi="Calibri" w:eastAsia="宋体" w:cs="Times New Roman"/>
      <w:b/>
      <w:bCs/>
      <w:kern w:val="44"/>
      <w:sz w:val="44"/>
      <w:szCs w:val="44"/>
    </w:rPr>
  </w:style>
  <w:style w:type="character" w:customStyle="1" w:styleId="16">
    <w:name w:val="正文文本缩进 字符"/>
    <w:basedOn w:val="10"/>
    <w:link w:val="4"/>
    <w:qFormat/>
    <w:uiPriority w:val="0"/>
    <w:rPr>
      <w:rFonts w:ascii="Times New Roman" w:hAnsi="Times New Roman" w:eastAsia="仿宋_GB2312" w:cs="Times New Roman"/>
      <w:sz w:val="30"/>
      <w:szCs w:val="24"/>
    </w:rPr>
  </w:style>
  <w:style w:type="character" w:customStyle="1" w:styleId="17">
    <w:name w:val="纯文本 字符"/>
    <w:basedOn w:val="10"/>
    <w:link w:val="5"/>
    <w:qFormat/>
    <w:uiPriority w:val="99"/>
    <w:rPr>
      <w:rFonts w:ascii="宋体" w:hAnsi="Courier New" w:eastAsia="宋体" w:cs="Times New Roman"/>
      <w:kern w:val="0"/>
      <w:sz w:val="20"/>
      <w:szCs w:val="20"/>
    </w:rPr>
  </w:style>
  <w:style w:type="character" w:customStyle="1" w:styleId="18">
    <w:name w:val="批注框文本 字符"/>
    <w:basedOn w:val="10"/>
    <w:link w:val="6"/>
    <w:qFormat/>
    <w:uiPriority w:val="99"/>
    <w:rPr>
      <w:rFonts w:ascii="Calibri" w:hAnsi="Calibri" w:eastAsia="宋体" w:cs="Times New Roman"/>
      <w:sz w:val="18"/>
      <w:szCs w:val="18"/>
    </w:rPr>
  </w:style>
  <w:style w:type="character" w:customStyle="1" w:styleId="19">
    <w:name w:val="页脚 字符"/>
    <w:basedOn w:val="10"/>
    <w:link w:val="7"/>
    <w:qFormat/>
    <w:uiPriority w:val="99"/>
    <w:rPr>
      <w:rFonts w:ascii="Calibri" w:hAnsi="Calibri" w:eastAsia="宋体" w:cs="Times New Roman"/>
      <w:sz w:val="18"/>
      <w:szCs w:val="18"/>
    </w:rPr>
  </w:style>
  <w:style w:type="character" w:customStyle="1" w:styleId="20">
    <w:name w:val="页眉 字符1"/>
    <w:basedOn w:val="10"/>
    <w:link w:val="8"/>
    <w:qFormat/>
    <w:uiPriority w:val="0"/>
    <w:rPr>
      <w:rFonts w:ascii="Calibri" w:hAnsi="Calibri" w:eastAsia="宋体" w:cs="Times New Roman"/>
      <w:sz w:val="18"/>
      <w:szCs w:val="18"/>
    </w:rPr>
  </w:style>
  <w:style w:type="character" w:customStyle="1" w:styleId="21">
    <w:name w:val="正文文本缩进 3 字符"/>
    <w:basedOn w:val="10"/>
    <w:link w:val="9"/>
    <w:qFormat/>
    <w:uiPriority w:val="0"/>
    <w:rPr>
      <w:rFonts w:ascii="仿宋_GB2312" w:hAnsi="Times New Roman" w:eastAsia="仿宋_GB2312" w:cs="Times New Roman"/>
      <w:kern w:val="0"/>
      <w:sz w:val="32"/>
      <w:szCs w:val="20"/>
    </w:rPr>
  </w:style>
  <w:style w:type="character" w:customStyle="1" w:styleId="22">
    <w:name w:val="页眉 字符"/>
    <w:qFormat/>
    <w:uiPriority w:val="0"/>
    <w:rPr>
      <w:kern w:val="2"/>
      <w:sz w:val="18"/>
      <w:szCs w:val="18"/>
    </w:rPr>
  </w:style>
  <w:style w:type="paragraph" w:customStyle="1" w:styleId="23">
    <w:name w:val="Char11"/>
    <w:basedOn w:val="1"/>
    <w:qFormat/>
    <w:uiPriority w:val="0"/>
    <w:pPr>
      <w:jc w:val="center"/>
    </w:pPr>
    <w:rPr>
      <w:rFonts w:ascii="Times New Roman" w:hAnsi="Times New Roman"/>
      <w:szCs w:val="21"/>
    </w:rPr>
  </w:style>
  <w:style w:type="paragraph" w:customStyle="1" w:styleId="24">
    <w:name w:val="Char Char"/>
    <w:basedOn w:val="1"/>
    <w:semiHidden/>
    <w:qFormat/>
    <w:uiPriority w:val="0"/>
    <w:rPr>
      <w:rFonts w:ascii="Times New Roman" w:hAnsi="Times New Roman"/>
      <w:szCs w:val="20"/>
    </w:rPr>
  </w:style>
  <w:style w:type="paragraph" w:customStyle="1" w:styleId="25">
    <w:name w:val="列出段落1"/>
    <w:basedOn w:val="1"/>
    <w:qFormat/>
    <w:uiPriority w:val="34"/>
    <w:pPr>
      <w:ind w:firstLine="420" w:firstLineChars="200"/>
    </w:pPr>
  </w:style>
  <w:style w:type="paragraph" w:customStyle="1" w:styleId="26">
    <w:name w:val="列出段落2"/>
    <w:basedOn w:val="1"/>
    <w:qFormat/>
    <w:uiPriority w:val="99"/>
    <w:pPr>
      <w:ind w:firstLine="420" w:firstLineChars="200"/>
    </w:pPr>
  </w:style>
  <w:style w:type="paragraph" w:customStyle="1" w:styleId="27">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customStyle="1" w:styleId="28">
    <w:name w:val="正文1"/>
    <w:basedOn w:val="1"/>
    <w:qFormat/>
    <w:uiPriority w:val="0"/>
    <w:pPr>
      <w:adjustRightInd w:val="0"/>
      <w:spacing w:before="120" w:after="120" w:line="300" w:lineRule="auto"/>
      <w:jc w:val="center"/>
      <w:textAlignment w:val="baseline"/>
    </w:pPr>
    <w:rPr>
      <w:rFonts w:ascii="Times New Roman" w:hAnsi="Times New Roman"/>
      <w:szCs w:val="20"/>
    </w:rPr>
  </w:style>
  <w:style w:type="paragraph" w:customStyle="1" w:styleId="29">
    <w:name w:val="段"/>
    <w:link w:val="3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30">
    <w:name w:val="List Paragraph"/>
    <w:basedOn w:val="1"/>
    <w:qFormat/>
    <w:uiPriority w:val="34"/>
    <w:pPr>
      <w:ind w:firstLine="420" w:firstLineChars="200"/>
    </w:pPr>
  </w:style>
  <w:style w:type="character" w:customStyle="1" w:styleId="31">
    <w:name w:val="段 Char"/>
    <w:link w:val="29"/>
    <w:qFormat/>
    <w:uiPriority w:val="0"/>
    <w:rPr>
      <w:rFonts w:ascii="宋体" w:hAnsi="Times New Roman" w:eastAsia="宋体" w:cs="Times New Roman"/>
      <w:kern w:val="0"/>
      <w:szCs w:val="20"/>
    </w:rPr>
  </w:style>
  <w:style w:type="character" w:customStyle="1" w:styleId="32">
    <w:name w:val="ask-title"/>
    <w:basedOn w:val="10"/>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9AC645-50DF-4050-B4A5-4ACCA5552304}">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Pages>
  <Words>352</Words>
  <Characters>2010</Characters>
  <Lines>16</Lines>
  <Paragraphs>4</Paragraphs>
  <TotalTime>3</TotalTime>
  <ScaleCrop>false</ScaleCrop>
  <LinksUpToDate>false</LinksUpToDate>
  <CharactersWithSpaces>2358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2022-04-29T04:00:00Z</dcterms:created>
  <dc:creator>lenovo</dc:creator>
  <cp:lastModifiedBy>杨青</cp:lastModifiedBy>
  <dcterms:modified xsi:type="dcterms:W3CDTF">2022-05-06T06:00:10Z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